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9D" w:rsidRDefault="00BB499D" w:rsidP="00BB499D">
      <w:pPr>
        <w:spacing w:after="430" w:line="860" w:lineRule="atLeast"/>
        <w:textAlignment w:val="baseline"/>
        <w:outlineLvl w:val="2"/>
        <w:rPr>
          <w:rFonts w:ascii="Helvetica" w:eastAsia="Times New Roman" w:hAnsi="Helvetica" w:cs="Helvetica"/>
          <w:b/>
          <w:bCs/>
          <w:i/>
          <w:iCs/>
          <w:caps/>
          <w:color w:val="B50B11"/>
          <w:spacing w:val="-21"/>
          <w:sz w:val="52"/>
          <w:szCs w:val="52"/>
          <w:bdr w:val="none" w:sz="0" w:space="0" w:color="auto" w:frame="1"/>
          <w:lang w:eastAsia="et-EE"/>
        </w:rPr>
      </w:pPr>
      <w:r w:rsidRPr="00BB499D">
        <w:rPr>
          <w:rFonts w:ascii="Helvetica" w:eastAsia="Times New Roman" w:hAnsi="Helvetica" w:cs="Helvetica"/>
          <w:b/>
          <w:bCs/>
          <w:caps/>
          <w:color w:val="444444"/>
          <w:sz w:val="40"/>
          <w:szCs w:val="40"/>
          <w:lang w:eastAsia="et-EE"/>
        </w:rPr>
        <w:t xml:space="preserve">NEODRYS </w:t>
      </w:r>
      <w:r w:rsidR="00946341">
        <w:rPr>
          <w:rFonts w:ascii="Helvetica" w:eastAsia="Times New Roman" w:hAnsi="Helvetica" w:cs="Helvetica"/>
          <w:b/>
          <w:bCs/>
          <w:caps/>
          <w:color w:val="444444"/>
          <w:sz w:val="40"/>
          <w:szCs w:val="40"/>
          <w:lang w:eastAsia="et-EE"/>
        </w:rPr>
        <w:t>süljepadjad</w:t>
      </w:r>
      <w:r>
        <w:rPr>
          <w:rFonts w:ascii="Helvetica" w:eastAsia="Times New Roman" w:hAnsi="Helvetica" w:cs="Helvetica"/>
          <w:noProof/>
          <w:color w:val="222222"/>
          <w:lang w:eastAsia="et-EE"/>
        </w:rPr>
        <w:drawing>
          <wp:inline distT="0" distB="0" distL="0" distR="0">
            <wp:extent cx="3098165" cy="2019935"/>
            <wp:effectExtent l="19050" t="0" r="6985" b="0"/>
            <wp:docPr id="1" name="Picture 1" descr="NeoDrys Saliva Absorb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oDrys Saliva Absorben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99D" w:rsidRPr="00BB499D" w:rsidRDefault="00BB499D" w:rsidP="00BB499D">
      <w:pPr>
        <w:spacing w:line="430" w:lineRule="atLeast"/>
        <w:jc w:val="center"/>
        <w:textAlignment w:val="baseline"/>
        <w:rPr>
          <w:rFonts w:ascii="Helvetica" w:eastAsia="Times New Roman" w:hAnsi="Helvetica" w:cs="Helvetica"/>
          <w:caps/>
          <w:color w:val="222222"/>
          <w:spacing w:val="21"/>
          <w:sz w:val="26"/>
          <w:szCs w:val="26"/>
          <w:lang w:eastAsia="et-EE"/>
        </w:rPr>
      </w:pPr>
    </w:p>
    <w:p w:rsidR="00BB499D" w:rsidRDefault="00BB499D" w:rsidP="00BB499D">
      <w:pPr>
        <w:spacing w:after="0" w:line="430" w:lineRule="atLeast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</w:pPr>
      <w:r>
        <w:rPr>
          <w:rFonts w:ascii="Helvetica" w:eastAsia="Times New Roman" w:hAnsi="Helvetica" w:cs="Helvetica"/>
          <w:noProof/>
          <w:color w:val="222222"/>
          <w:lang w:eastAsia="et-EE"/>
        </w:rPr>
        <w:drawing>
          <wp:inline distT="0" distB="0" distL="0" distR="0">
            <wp:extent cx="1869440" cy="1351280"/>
            <wp:effectExtent l="19050" t="0" r="0" b="0"/>
            <wp:docPr id="2" name="Picture 2" descr="NeoDrys Saliva Absorb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oDrys Saliva Absorb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22222"/>
          <w:lang w:eastAsia="et-EE"/>
        </w:rPr>
        <w:drawing>
          <wp:inline distT="0" distB="0" distL="0" distR="0">
            <wp:extent cx="1869440" cy="1351280"/>
            <wp:effectExtent l="19050" t="0" r="0" b="0"/>
            <wp:docPr id="3" name="Picture 3" descr="NeoDrys Saliva Absorb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oDrys Saliva Absorben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22222"/>
          <w:lang w:eastAsia="et-EE"/>
        </w:rPr>
        <w:drawing>
          <wp:inline distT="0" distB="0" distL="0" distR="0">
            <wp:extent cx="3807460" cy="3002280"/>
            <wp:effectExtent l="19050" t="0" r="2540" b="0"/>
            <wp:docPr id="4" name="Picture 4" descr="NeoDrys Saliva Absorb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oDrys Saliva Absorb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99D" w:rsidRPr="00BB499D" w:rsidRDefault="00BB499D" w:rsidP="00BB499D">
      <w:pPr>
        <w:spacing w:after="0" w:line="430" w:lineRule="atLeast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</w:pPr>
      <w:r w:rsidRPr="00BB499D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 xml:space="preserve">NEODRYS </w:t>
      </w:r>
      <w:r w:rsidR="00946341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süljepatjade kasutamine suurendab teie töö efektiivsust, hoides kontrolli all sülje eritumise tõttu tekkivat kontaminatsiooni riski, pakkudes samal ajal suurepärast põse kaitset.</w:t>
      </w:r>
      <w:r w:rsidRPr="00BB499D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 xml:space="preserve"> NEODRYS </w:t>
      </w:r>
      <w:r w:rsidR="00946341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süljepadjad on värvimarkeeringuga, tänu millele on neid lihtne tuvastada.</w:t>
      </w:r>
    </w:p>
    <w:p w:rsidR="00BB499D" w:rsidRPr="00BB499D" w:rsidRDefault="00946341" w:rsidP="00946341">
      <w:pPr>
        <w:spacing w:after="0" w:line="430" w:lineRule="atLeast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</w:pP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Saadaval kahes suuruses</w:t>
      </w:r>
      <w:r w:rsidR="00BB499D" w:rsidRPr="00BB499D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:</w:t>
      </w:r>
    </w:p>
    <w:p w:rsidR="00BB499D" w:rsidRPr="00BB499D" w:rsidRDefault="00946341" w:rsidP="00BB499D">
      <w:pPr>
        <w:numPr>
          <w:ilvl w:val="1"/>
          <w:numId w:val="1"/>
        </w:numPr>
        <w:spacing w:after="0" w:line="430" w:lineRule="atLeast"/>
        <w:ind w:left="0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</w:pP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Suur (</w:t>
      </w:r>
      <w:r w:rsidR="00AA7804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l</w:t>
      </w:r>
      <w:r w:rsidR="00BB499D" w:rsidRPr="00BB499D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arge</w:t>
      </w: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)</w:t>
      </w:r>
      <w:r w:rsidR="00AA7804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 xml:space="preserve"> </w:t>
      </w: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helesinine</w:t>
      </w:r>
    </w:p>
    <w:p w:rsidR="00BB499D" w:rsidRDefault="00946341" w:rsidP="00BB499D">
      <w:pPr>
        <w:numPr>
          <w:ilvl w:val="1"/>
          <w:numId w:val="1"/>
        </w:numPr>
        <w:spacing w:after="0" w:line="430" w:lineRule="atLeast"/>
        <w:ind w:left="0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</w:pP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Väike (small)</w:t>
      </w:r>
      <w:r w:rsidR="00AA7804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 xml:space="preserve"> </w:t>
      </w: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kollane</w:t>
      </w:r>
    </w:p>
    <w:p w:rsidR="00946341" w:rsidRDefault="00946341" w:rsidP="00946341">
      <w:pPr>
        <w:spacing w:after="0" w:line="430" w:lineRule="atLeast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</w:pPr>
    </w:p>
    <w:p w:rsidR="00946341" w:rsidRPr="00BB499D" w:rsidRDefault="00946341" w:rsidP="00946341">
      <w:pPr>
        <w:spacing w:after="0" w:line="430" w:lineRule="atLeast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</w:pPr>
    </w:p>
    <w:p w:rsidR="00BB499D" w:rsidRPr="00BB499D" w:rsidRDefault="00BB499D" w:rsidP="00BB499D">
      <w:pPr>
        <w:numPr>
          <w:ilvl w:val="0"/>
          <w:numId w:val="2"/>
        </w:numPr>
        <w:spacing w:after="0" w:line="430" w:lineRule="atLeast"/>
        <w:ind w:left="0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</w:pPr>
      <w:r w:rsidRPr="00BB499D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lastRenderedPageBreak/>
        <w:t xml:space="preserve">NEODRYS </w:t>
      </w:r>
      <w:r w:rsidR="00946341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 xml:space="preserve"> süljepatjadel on uue disainiga sisemine „niiskusesulgur“</w:t>
      </w:r>
      <w:r w:rsidR="00A05AAA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, mis</w:t>
      </w:r>
      <w:r w:rsidR="00AA7804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 xml:space="preserve"> </w:t>
      </w:r>
      <w:r w:rsidR="00A05AAA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imab sülje</w:t>
      </w:r>
      <w:r w:rsidR="00AA7804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 xml:space="preserve"> kiiresti</w:t>
      </w:r>
      <w:r w:rsidR="00A05AAA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, tagades seeläbi ülimalt kuiva tööpiirkonna.</w:t>
      </w:r>
    </w:p>
    <w:p w:rsidR="00BB499D" w:rsidRPr="00BB499D" w:rsidRDefault="00CD4C0A" w:rsidP="00BB499D">
      <w:pPr>
        <w:numPr>
          <w:ilvl w:val="0"/>
          <w:numId w:val="3"/>
        </w:numPr>
        <w:spacing w:after="0" w:line="430" w:lineRule="atLeast"/>
        <w:ind w:left="0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</w:pP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K</w:t>
      </w:r>
      <w:r w:rsidR="00A05AAA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u</w:t>
      </w: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igi padi on süljest küllastunud, ei hakka see lekkima.</w:t>
      </w:r>
    </w:p>
    <w:p w:rsidR="00BB499D" w:rsidRPr="00BB499D" w:rsidRDefault="00A05AAA" w:rsidP="00BB499D">
      <w:pPr>
        <w:numPr>
          <w:ilvl w:val="0"/>
          <w:numId w:val="3"/>
        </w:numPr>
        <w:spacing w:after="0" w:line="430" w:lineRule="atLeast"/>
        <w:ind w:left="0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</w:pP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Padja pehme niiskuskindel pool kaitseb põske hõõrdumise eest ning tänu peegeldavale poolele on suuõõs valgus</w:t>
      </w:r>
      <w:r w:rsidR="00AA7804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küllas</w:t>
      </w: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em</w:t>
      </w:r>
      <w:r w:rsidR="00BB499D" w:rsidRPr="00BB499D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.</w:t>
      </w:r>
    </w:p>
    <w:p w:rsidR="00BB499D" w:rsidRPr="00BB499D" w:rsidRDefault="00A05AAA" w:rsidP="00BB499D">
      <w:pPr>
        <w:numPr>
          <w:ilvl w:val="0"/>
          <w:numId w:val="3"/>
        </w:numPr>
        <w:spacing w:after="0" w:line="430" w:lineRule="atLeast"/>
        <w:ind w:left="0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</w:pP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Padja uuendatud „</w:t>
      </w:r>
      <w:r w:rsidR="00BB499D" w:rsidRPr="00BB499D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COMFORT</w:t>
      </w: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 xml:space="preserve"> </w:t>
      </w:r>
      <w:r w:rsidR="00BB499D" w:rsidRPr="00BB499D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EDGE</w:t>
      </w: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“ serv on pehmem ja ei valmista patsiendile ebamugavust.</w:t>
      </w:r>
    </w:p>
    <w:p w:rsidR="00BB499D" w:rsidRPr="00BB499D" w:rsidRDefault="00A05AAA" w:rsidP="00BB499D">
      <w:pPr>
        <w:numPr>
          <w:ilvl w:val="0"/>
          <w:numId w:val="3"/>
        </w:numPr>
        <w:spacing w:after="0" w:line="430" w:lineRule="atLeast"/>
        <w:ind w:left="0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</w:pP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 xml:space="preserve">Suure imamisvõime,süljekaitse ja mugavuse tõttu on </w:t>
      </w:r>
      <w:r w:rsidR="00BB499D" w:rsidRPr="00BB499D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NEODRYS</w:t>
      </w: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 xml:space="preserve"> parim toode omalaadsete seas.</w:t>
      </w:r>
      <w:r w:rsidR="00BB499D" w:rsidRPr="00BB499D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br w:type="textWrapping" w:clear="all"/>
      </w:r>
      <w:r w:rsidR="00BB499D" w:rsidRPr="00BB499D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br w:type="textWrapping" w:clear="all"/>
        <w:t xml:space="preserve">NEODRYS </w:t>
      </w: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eelised:</w:t>
      </w:r>
    </w:p>
    <w:p w:rsidR="00BB499D" w:rsidRPr="00BB499D" w:rsidRDefault="00722264" w:rsidP="00BB499D">
      <w:pPr>
        <w:numPr>
          <w:ilvl w:val="0"/>
          <w:numId w:val="3"/>
        </w:numPr>
        <w:spacing w:after="0" w:line="430" w:lineRule="atLeast"/>
        <w:ind w:left="0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</w:pP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Padja „super-imav“ südamik</w:t>
      </w:r>
      <w:r w:rsidR="00BB499D" w:rsidRPr="00BB499D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 xml:space="preserve"> </w:t>
      </w: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–</w:t>
      </w:r>
      <w:r w:rsidR="00BB499D" w:rsidRPr="00BB499D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 xml:space="preserve"> </w:t>
      </w: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väiksem kulu vatirullidele ja muudele süljepatjadele.</w:t>
      </w:r>
    </w:p>
    <w:p w:rsidR="00BB499D" w:rsidRPr="00BB499D" w:rsidRDefault="00722264" w:rsidP="00BB499D">
      <w:pPr>
        <w:numPr>
          <w:ilvl w:val="0"/>
          <w:numId w:val="3"/>
        </w:numPr>
        <w:spacing w:after="0" w:line="430" w:lineRule="atLeast"/>
        <w:ind w:left="0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</w:pP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Lihtsam töötada suu tagumises piirkonnas.</w:t>
      </w:r>
    </w:p>
    <w:p w:rsidR="00BB499D" w:rsidRPr="00BB499D" w:rsidRDefault="00722264" w:rsidP="00BB499D">
      <w:pPr>
        <w:numPr>
          <w:ilvl w:val="0"/>
          <w:numId w:val="3"/>
        </w:numPr>
        <w:spacing w:after="0" w:line="430" w:lineRule="atLeast"/>
        <w:ind w:left="0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</w:pPr>
      <w:r w:rsidRPr="00722264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Suhu ei jää lahtiseid kiude vatirullidest ega teistest imavat</w:t>
      </w:r>
      <w:r w:rsidR="00AA7804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e</w:t>
      </w:r>
      <w:r w:rsidRPr="00722264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st vahenditest.</w:t>
      </w:r>
    </w:p>
    <w:p w:rsidR="00BB499D" w:rsidRPr="00BB499D" w:rsidRDefault="00722264" w:rsidP="00BB499D">
      <w:pPr>
        <w:numPr>
          <w:ilvl w:val="0"/>
          <w:numId w:val="3"/>
        </w:numPr>
        <w:spacing w:after="0" w:line="430" w:lineRule="atLeast"/>
        <w:ind w:left="0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</w:pP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Tänu painduvusele  ja voolujoonelisele kujule mugandub vastavalt põse liikumisele.</w:t>
      </w:r>
    </w:p>
    <w:p w:rsidR="00BB499D" w:rsidRPr="00BB499D" w:rsidRDefault="00722264" w:rsidP="00BB499D">
      <w:pPr>
        <w:numPr>
          <w:ilvl w:val="0"/>
          <w:numId w:val="3"/>
        </w:numPr>
        <w:spacing w:after="0" w:line="430" w:lineRule="atLeast"/>
        <w:ind w:left="0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</w:pP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Padja pehmed servad tagavad toote mugavuse patsiendile</w:t>
      </w:r>
      <w:r w:rsidR="00BB499D" w:rsidRPr="00BB499D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.</w:t>
      </w:r>
    </w:p>
    <w:p w:rsidR="00407339" w:rsidRDefault="00AA7804" w:rsidP="00407339">
      <w:pPr>
        <w:numPr>
          <w:ilvl w:val="0"/>
          <w:numId w:val="3"/>
        </w:numPr>
        <w:spacing w:after="0" w:line="430" w:lineRule="atLeast"/>
        <w:ind w:left="0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</w:pP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 xml:space="preserve">Püsib hästi paigal, </w:t>
      </w:r>
      <w:r w:rsidR="00722264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hiljem</w:t>
      </w: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 xml:space="preserve"> lihtne</w:t>
      </w:r>
      <w:r w:rsidR="00722264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 xml:space="preserve"> eemaldada</w:t>
      </w: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 xml:space="preserve"> (</w:t>
      </w:r>
      <w:r w:rsidR="00722264"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vajadusel kasutades selleks  vee</w:t>
      </w:r>
      <w:r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  <w:t>spreid).</w:t>
      </w:r>
    </w:p>
    <w:p w:rsidR="00407339" w:rsidRPr="00407339" w:rsidRDefault="00407339" w:rsidP="00407339">
      <w:pPr>
        <w:spacing w:after="0" w:line="430" w:lineRule="atLeast"/>
        <w:textAlignment w:val="baseline"/>
        <w:rPr>
          <w:rFonts w:ascii="Helvetica" w:eastAsia="Times New Roman" w:hAnsi="Helvetica" w:cs="Helvetica"/>
          <w:color w:val="222222"/>
          <w:sz w:val="30"/>
          <w:szCs w:val="30"/>
          <w:lang w:eastAsia="et-EE"/>
        </w:rPr>
      </w:pPr>
    </w:p>
    <w:p w:rsidR="00BB499D" w:rsidRPr="00BB499D" w:rsidRDefault="00BB499D" w:rsidP="00BB49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t-EE"/>
        </w:rPr>
      </w:pPr>
      <w:r w:rsidRPr="00BB499D">
        <w:rPr>
          <w:rFonts w:ascii="Arial" w:eastAsia="Times New Roman" w:hAnsi="Arial" w:cs="Arial"/>
          <w:vanish/>
          <w:sz w:val="16"/>
          <w:szCs w:val="16"/>
          <w:lang w:eastAsia="et-EE"/>
        </w:rPr>
        <w:t>Bottom of Form</w:t>
      </w:r>
    </w:p>
    <w:p w:rsidR="008C56C7" w:rsidRDefault="008C56C7"/>
    <w:sectPr w:rsidR="008C56C7" w:rsidSect="00BB4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0170"/>
    <w:multiLevelType w:val="multilevel"/>
    <w:tmpl w:val="5A8E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D3664"/>
    <w:multiLevelType w:val="multilevel"/>
    <w:tmpl w:val="D614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C2B5E"/>
    <w:multiLevelType w:val="multilevel"/>
    <w:tmpl w:val="C814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499D"/>
    <w:rsid w:val="002C47B8"/>
    <w:rsid w:val="00407339"/>
    <w:rsid w:val="00722264"/>
    <w:rsid w:val="008C56C7"/>
    <w:rsid w:val="00946341"/>
    <w:rsid w:val="00A05AAA"/>
    <w:rsid w:val="00A820CA"/>
    <w:rsid w:val="00AA7804"/>
    <w:rsid w:val="00AD6FD9"/>
    <w:rsid w:val="00BA37D3"/>
    <w:rsid w:val="00BB499D"/>
    <w:rsid w:val="00C4708C"/>
    <w:rsid w:val="00CD4C0A"/>
    <w:rsid w:val="00D2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C7"/>
  </w:style>
  <w:style w:type="paragraph" w:styleId="Heading3">
    <w:name w:val="heading 3"/>
    <w:basedOn w:val="Normal"/>
    <w:link w:val="Heading3Char"/>
    <w:uiPriority w:val="9"/>
    <w:qFormat/>
    <w:rsid w:val="00BB4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Heading5">
    <w:name w:val="heading 5"/>
    <w:basedOn w:val="Normal"/>
    <w:link w:val="Heading5Char"/>
    <w:uiPriority w:val="9"/>
    <w:qFormat/>
    <w:rsid w:val="00BB49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499D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Heading5Char">
    <w:name w:val="Heading 5 Char"/>
    <w:basedOn w:val="DefaultParagraphFont"/>
    <w:link w:val="Heading5"/>
    <w:uiPriority w:val="9"/>
    <w:rsid w:val="00BB499D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styleId="Strong">
    <w:name w:val="Strong"/>
    <w:basedOn w:val="DefaultParagraphFont"/>
    <w:uiPriority w:val="22"/>
    <w:qFormat/>
    <w:rsid w:val="00BB499D"/>
    <w:rPr>
      <w:b/>
      <w:bCs/>
    </w:rPr>
  </w:style>
  <w:style w:type="character" w:customStyle="1" w:styleId="apple-converted-space">
    <w:name w:val="apple-converted-space"/>
    <w:basedOn w:val="DefaultParagraphFont"/>
    <w:rsid w:val="00BB499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49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499D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49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499D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4303">
                          <w:marLeft w:val="0"/>
                          <w:marRight w:val="0"/>
                          <w:marTop w:val="0"/>
                          <w:marBottom w:val="214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5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31" w:color="FFD659"/>
                                <w:left w:val="single" w:sz="18" w:space="16" w:color="FFD659"/>
                                <w:bottom w:val="single" w:sz="18" w:space="11" w:color="FFD659"/>
                                <w:right w:val="single" w:sz="18" w:space="16" w:color="FFD659"/>
                              </w:divBdr>
                              <w:divsChild>
                                <w:div w:id="137438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2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193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Rätsnik</dc:creator>
  <cp:lastModifiedBy>Ingrid Rätsnik</cp:lastModifiedBy>
  <cp:revision>7</cp:revision>
  <cp:lastPrinted>2015-06-15T12:46:00Z</cp:lastPrinted>
  <dcterms:created xsi:type="dcterms:W3CDTF">2015-06-12T09:36:00Z</dcterms:created>
  <dcterms:modified xsi:type="dcterms:W3CDTF">2016-03-04T12:51:00Z</dcterms:modified>
</cp:coreProperties>
</file>